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9964" w14:textId="5464DCDA" w:rsidR="00253E69" w:rsidRPr="00AB4C7A" w:rsidRDefault="00253E69" w:rsidP="00253E69"/>
    <w:p w14:paraId="21507A62" w14:textId="161461B6" w:rsidR="00253E69" w:rsidRPr="00AB4C7A" w:rsidRDefault="00253E69" w:rsidP="00253E69">
      <w:r w:rsidRPr="00AB4C7A">
        <w:t>STJ: Nem sempre a</w:t>
      </w:r>
      <w:r w:rsidRPr="00AB4C7A">
        <w:t xml:space="preserve"> Penhora Interrompe a Prescrição Intercorrente</w:t>
      </w:r>
      <w:r w:rsidRPr="00AB4C7A">
        <w:t xml:space="preserve"> em execução fiscal</w:t>
      </w:r>
    </w:p>
    <w:p w14:paraId="2773BF0B" w14:textId="77777777" w:rsidR="00253E69" w:rsidRPr="00AB4C7A" w:rsidRDefault="00253E69" w:rsidP="00253E69">
      <w:r w:rsidRPr="00AB4C7A">
        <w:t>No âmbito do direito processual tributário, subsiste um equívoco comum entre contribuintes e até mesmo operários do Direito: a premissa de que qualquer ato de constrição patrimonial, independentemente de sua expressão econômica, possui o condão de interromper o curso do prazo prescricional.</w:t>
      </w:r>
    </w:p>
    <w:p w14:paraId="1E74E0BD" w14:textId="77777777" w:rsidR="00253E69" w:rsidRPr="00AB4C7A" w:rsidRDefault="00253E69" w:rsidP="00253E69">
      <w:r w:rsidRPr="00AB4C7A">
        <w:t xml:space="preserve">Contudo, o Superior Tribunal de Justiça (STJ) promoveu um decisivo refinamento na aplicação do célebre Tema 1.340 dos Recursos Repetitivos (REsp nº 1.340.553/RS). A Corte da Cidadania pacificou o entendimento de que a penhora de valores irrisórios não interrompe a prescrição intercorrente, blindando o ordenamento jurídico contra lides perenizadas e o formalismo </w:t>
      </w:r>
      <w:proofErr w:type="gramStart"/>
      <w:r w:rsidRPr="00AB4C7A">
        <w:t>inócuo</w:t>
      </w:r>
      <w:proofErr w:type="gramEnd"/>
      <w:r w:rsidRPr="00AB4C7A">
        <w:t xml:space="preserve"> da Fazenda Pública.</w:t>
      </w:r>
    </w:p>
    <w:p w14:paraId="61B6141A" w14:textId="77777777" w:rsidR="00253E69" w:rsidRPr="00AB4C7A" w:rsidRDefault="00253E69" w:rsidP="00253E69">
      <w:r w:rsidRPr="00AB4C7A">
        <w:t>Para compreender o alcance desse refinamento jurisprudencial, faz-se necessário resgatar a sistemática de contagem do tempo na execução fiscal quando exauridas as tentativas ordinárias de localização do devedor ou de seus bens:</w:t>
      </w:r>
    </w:p>
    <w:p w14:paraId="212E0B14" w14:textId="77777777" w:rsidR="00253E69" w:rsidRPr="00AB4C7A" w:rsidRDefault="00253E69" w:rsidP="00253E69">
      <w:r w:rsidRPr="00AB4C7A">
        <w:t xml:space="preserve">O Termo Inicial: Constatada a não localização de bens passíveis de penhora e cientificada a Fazenda Pública, deflagra-se automaticamente o prazo de 1 ano de suspensão do processo (art. 40, </w:t>
      </w:r>
      <w:r w:rsidRPr="00AB4C7A">
        <w:rPr>
          <w:i/>
          <w:iCs/>
        </w:rPr>
        <w:t>caput</w:t>
      </w:r>
      <w:r w:rsidRPr="00AB4C7A">
        <w:t>, da Lei nº 6.830/80).</w:t>
      </w:r>
    </w:p>
    <w:p w14:paraId="7E6BCBBD" w14:textId="77777777" w:rsidR="00253E69" w:rsidRPr="00AB4C7A" w:rsidRDefault="00253E69" w:rsidP="00253E69">
      <w:r w:rsidRPr="00AB4C7A">
        <w:t>O Curso da Prescrição: Escoado o interregno anual de suspensão, inicia-se — também de forma automática, prescindindo de despacho judicial — o prazo de 5 anos da prescrição intercorrente (art. 40, § 4º, da LEF).</w:t>
      </w:r>
    </w:p>
    <w:p w14:paraId="08740AD3" w14:textId="77777777" w:rsidR="00253E69" w:rsidRPr="00AB4C7A" w:rsidRDefault="00253E69" w:rsidP="00253E69">
      <w:r w:rsidRPr="00AB4C7A">
        <w:t>O Termo Ad Quem: Caso o processo permaneça paralisado ou sem a efetivação de constrição patrimonial qualificada por 6 anos no total, opera-se a preclusão temporal do direito de cobrar, impondo-se a extinção do feito.</w:t>
      </w:r>
    </w:p>
    <w:p w14:paraId="5131BA8A" w14:textId="77777777" w:rsidR="00253E69" w:rsidRPr="00AB4C7A" w:rsidRDefault="00253E69" w:rsidP="00253E69">
      <w:r w:rsidRPr="00AB4C7A">
        <w:t xml:space="preserve">À luz do desenho original do Tema 1.340, a contagem do prazo prescricional somente seria interrompida pela efetiva localização do devedor ou de bens penhoráveis. Diante da iminência do decurso do prazo sexenal, tornou-se praxe fazendária o requerimento de sucessivos bloqueios via sistema </w:t>
      </w:r>
      <w:proofErr w:type="spellStart"/>
      <w:r w:rsidRPr="00AB4C7A">
        <w:t>SisbaJud</w:t>
      </w:r>
      <w:proofErr w:type="spellEnd"/>
      <w:r w:rsidRPr="00AB4C7A">
        <w:t>.</w:t>
      </w:r>
    </w:p>
    <w:p w14:paraId="7BCE33BE" w14:textId="77777777" w:rsidR="00253E69" w:rsidRPr="00AB4C7A" w:rsidRDefault="00253E69" w:rsidP="00253E69">
      <w:r w:rsidRPr="00AB4C7A">
        <w:t>Muitas dessas diligências resultavam na penhora de quantias insignificantes — por vezes, escassos reais ou centavos retidos em contas bancárias de pessoas jurídicas cujos débitos executados remontavam a cifras milionárias. O Fisco, valendo-se de uma interpretação meramente literal, sustentava que a ocorrência de qualquer penhora configurava o êxito da busca patrimonial, operando o efeito interruptivo e reiniciando o cômputo dos 5 anos.</w:t>
      </w:r>
    </w:p>
    <w:p w14:paraId="484ACAF5" w14:textId="77777777" w:rsidR="00253E69" w:rsidRPr="00AB4C7A" w:rsidRDefault="00253E69" w:rsidP="00253E69">
      <w:r w:rsidRPr="00AB4C7A">
        <w:t xml:space="preserve">Ao enfrentar a matéria em julgados recentes, o STJ rechaçou a manobra fazendária. O tribunal assentou que o bloqueio de valores ínfimos não ostenta aptidão jurídica para interromper a prescrição intercorrente. A </w:t>
      </w:r>
      <w:proofErr w:type="spellStart"/>
      <w:r w:rsidRPr="00AB4C7A">
        <w:rPr>
          <w:i/>
          <w:iCs/>
        </w:rPr>
        <w:t>ratio</w:t>
      </w:r>
      <w:proofErr w:type="spellEnd"/>
      <w:r w:rsidRPr="00AB4C7A">
        <w:rPr>
          <w:i/>
          <w:iCs/>
        </w:rPr>
        <w:t xml:space="preserve"> </w:t>
      </w:r>
      <w:proofErr w:type="spellStart"/>
      <w:r w:rsidRPr="00AB4C7A">
        <w:rPr>
          <w:i/>
          <w:iCs/>
        </w:rPr>
        <w:t>decidendi</w:t>
      </w:r>
      <w:proofErr w:type="spellEnd"/>
      <w:r w:rsidRPr="00AB4C7A">
        <w:t xml:space="preserve"> firmada pelos ministros repousa sobre três pilares fundamentais:</w:t>
      </w:r>
    </w:p>
    <w:p w14:paraId="7858ECB2" w14:textId="77777777" w:rsidR="00253E69" w:rsidRPr="00AB4C7A" w:rsidRDefault="00253E69" w:rsidP="00253E69">
      <w:r w:rsidRPr="00AB4C7A">
        <w:t>Princípio da Utilidade da Execução: O processo executivo orienta-se pelo princípio do resultado (art. 797 do CPC). Ele existe para a satisfação efetiva do crédito exequendo, e não para se convolar em um exercício burocrático estéril ou em uma sanção de caráter perpétuo.</w:t>
      </w:r>
    </w:p>
    <w:p w14:paraId="067D64C0" w14:textId="77777777" w:rsidR="00253E69" w:rsidRPr="00AB4C7A" w:rsidRDefault="00253E69" w:rsidP="00253E69">
      <w:r w:rsidRPr="00AB4C7A">
        <w:lastRenderedPageBreak/>
        <w:t>Vedação à Imprescritibilidade Transversa: Admitir que o bloqueio de quantias irrisórias "zere" o relógio prescricional equivaleria a chancelar a imprescritibilidade das dívidas fiscais por vias oblíquas, em flagrante violação ao postulado constitucional da segurança jurídica.</w:t>
      </w:r>
    </w:p>
    <w:p w14:paraId="138EC570" w14:textId="77777777" w:rsidR="00253E69" w:rsidRPr="00AB4C7A" w:rsidRDefault="00253E69" w:rsidP="00253E69">
      <w:r w:rsidRPr="00AB4C7A">
        <w:t>Inexpressividade Econômica Relativa: Uma constrição patrimonial incapaz de amortizar substancialmente o principal da dívida — ou que não cubra sequer as despesas postais de intimação dos atos executivos — carece de relevância jurídica (</w:t>
      </w:r>
      <w:r w:rsidRPr="00AB4C7A">
        <w:rPr>
          <w:i/>
          <w:iCs/>
        </w:rPr>
        <w:t xml:space="preserve">de </w:t>
      </w:r>
      <w:proofErr w:type="spellStart"/>
      <w:r w:rsidRPr="00AB4C7A">
        <w:rPr>
          <w:i/>
          <w:iCs/>
        </w:rPr>
        <w:t>minimis</w:t>
      </w:r>
      <w:proofErr w:type="spellEnd"/>
      <w:r w:rsidRPr="00AB4C7A">
        <w:rPr>
          <w:i/>
          <w:iCs/>
        </w:rPr>
        <w:t xml:space="preserve"> non </w:t>
      </w:r>
      <w:proofErr w:type="spellStart"/>
      <w:r w:rsidRPr="00AB4C7A">
        <w:rPr>
          <w:i/>
          <w:iCs/>
        </w:rPr>
        <w:t>curat</w:t>
      </w:r>
      <w:proofErr w:type="spellEnd"/>
      <w:r w:rsidRPr="00AB4C7A">
        <w:rPr>
          <w:i/>
          <w:iCs/>
        </w:rPr>
        <w:t xml:space="preserve"> </w:t>
      </w:r>
      <w:proofErr w:type="spellStart"/>
      <w:r w:rsidRPr="00AB4C7A">
        <w:rPr>
          <w:i/>
          <w:iCs/>
        </w:rPr>
        <w:t>praetor</w:t>
      </w:r>
      <w:proofErr w:type="spellEnd"/>
      <w:r w:rsidRPr="00AB4C7A">
        <w:t>).</w:t>
      </w:r>
    </w:p>
    <w:p w14:paraId="67390931" w14:textId="77777777" w:rsidR="00253E69" w:rsidRPr="00AB4C7A" w:rsidRDefault="00253E69" w:rsidP="00253E69">
      <w:r w:rsidRPr="00AB4C7A">
        <w:t xml:space="preserve">Tese Consolidada: Para que um ato de penhora possua eficácia interruptiva sobre a prescrição intercorrente, ele deve demonstrar utilidade prática mínima e legítima expectativa de adimplemento da obrigação. Atos </w:t>
      </w:r>
      <w:proofErr w:type="gramStart"/>
      <w:r w:rsidRPr="00AB4C7A">
        <w:t>inócuos</w:t>
      </w:r>
      <w:proofErr w:type="gramEnd"/>
      <w:r w:rsidRPr="00AB4C7A">
        <w:t xml:space="preserve"> e capturas financeiras insignificantes são juridicamente irrelevantes para este fim.</w:t>
      </w:r>
    </w:p>
    <w:p w14:paraId="0F64B2AD" w14:textId="77777777" w:rsidR="00253E69" w:rsidRPr="00AB4C7A" w:rsidRDefault="00253E69" w:rsidP="00253E69">
      <w:r w:rsidRPr="00AB4C7A">
        <w:t>Este refinamento jurisprudencial, alinhado à recente política de desjudicialização do Conselho Nacional de Justiça (CNJ) — materializada pela Resolução CNJ nº 689 —, fornece à advocacia corporativa um poderoso instrumento para o saneamento de passivos fiscais crônicos.</w:t>
      </w:r>
    </w:p>
    <w:sectPr w:rsidR="00253E69" w:rsidRPr="00AB4C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946F6"/>
    <w:multiLevelType w:val="multilevel"/>
    <w:tmpl w:val="3A5C2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F4983"/>
    <w:multiLevelType w:val="multilevel"/>
    <w:tmpl w:val="B956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7F3BAA"/>
    <w:multiLevelType w:val="multilevel"/>
    <w:tmpl w:val="60B8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23E22"/>
    <w:multiLevelType w:val="multilevel"/>
    <w:tmpl w:val="B75A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3173492">
    <w:abstractNumId w:val="2"/>
  </w:num>
  <w:num w:numId="2" w16cid:durableId="844054639">
    <w:abstractNumId w:val="0"/>
  </w:num>
  <w:num w:numId="3" w16cid:durableId="1159492857">
    <w:abstractNumId w:val="1"/>
  </w:num>
  <w:num w:numId="4" w16cid:durableId="1388868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E69"/>
    <w:rsid w:val="00253E69"/>
    <w:rsid w:val="002620A8"/>
    <w:rsid w:val="00456D48"/>
    <w:rsid w:val="00805665"/>
    <w:rsid w:val="00AB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9C8C8"/>
  <w15:chartTrackingRefBased/>
  <w15:docId w15:val="{9DCDA503-51CD-4894-93A4-071809BD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53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3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3E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3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3E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3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3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3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3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3E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3E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3E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3E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3E6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3E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3E6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3E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3E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3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3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3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3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3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3E6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3E6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3E6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3E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3E6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3E6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53E6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53E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634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2026-07-23T15:39:00Z</dcterms:created>
  <dcterms:modified xsi:type="dcterms:W3CDTF">2026-07-23T19:48:00Z</dcterms:modified>
</cp:coreProperties>
</file>